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FC43" w14:textId="1DE22345" w:rsidR="002837CF" w:rsidRPr="0042104B" w:rsidRDefault="0042104B" w:rsidP="0042104B">
      <w:pPr>
        <w:pStyle w:val="NoSpacing"/>
        <w:jc w:val="center"/>
        <w:rPr>
          <w:rFonts w:ascii="Abadi" w:hAnsi="Abadi"/>
          <w:b/>
          <w:bCs/>
          <w:sz w:val="28"/>
          <w:szCs w:val="28"/>
        </w:rPr>
      </w:pPr>
      <w:r w:rsidRPr="0042104B">
        <w:rPr>
          <w:rFonts w:ascii="Abadi" w:hAnsi="Abadi"/>
          <w:b/>
          <w:bCs/>
          <w:sz w:val="28"/>
          <w:szCs w:val="28"/>
        </w:rPr>
        <w:t>Athens versus Sparta</w:t>
      </w:r>
    </w:p>
    <w:p w14:paraId="6D751785" w14:textId="0AEEA0D9" w:rsidR="0042104B" w:rsidRDefault="0042104B" w:rsidP="0042104B">
      <w:pPr>
        <w:pStyle w:val="NoSpacing"/>
        <w:rPr>
          <w:rFonts w:ascii="Abadi" w:hAnsi="Abadi"/>
          <w:sz w:val="24"/>
          <w:szCs w:val="24"/>
        </w:rPr>
      </w:pPr>
      <w:r w:rsidRPr="0042104B">
        <w:rPr>
          <w:rFonts w:ascii="Abadi" w:hAnsi="Abadi"/>
          <w:sz w:val="24"/>
          <w:szCs w:val="24"/>
          <w:u w:val="single"/>
        </w:rPr>
        <w:t>SEPTIC Instructions:</w:t>
      </w:r>
      <w:r w:rsidRPr="0042104B">
        <w:rPr>
          <w:rFonts w:ascii="Abadi" w:hAnsi="Abadi"/>
          <w:sz w:val="24"/>
          <w:szCs w:val="24"/>
        </w:rPr>
        <w:t xml:space="preserve"> Read, highlight, and annotate the reading over the two most famous ancient Greek city-states, Athens and Sparta then compare them using the SEPTIC organizer below. You will need AT LEAST </w:t>
      </w:r>
      <w:r w:rsidR="004117C8">
        <w:rPr>
          <w:rFonts w:ascii="Abadi" w:hAnsi="Abadi"/>
          <w:sz w:val="24"/>
          <w:szCs w:val="24"/>
        </w:rPr>
        <w:t>ONE</w:t>
      </w:r>
      <w:r w:rsidRPr="0042104B">
        <w:rPr>
          <w:rFonts w:ascii="Abadi" w:hAnsi="Abadi"/>
          <w:sz w:val="24"/>
          <w:szCs w:val="24"/>
        </w:rPr>
        <w:t xml:space="preserve"> bullet point per box. Responses do not need to be in complete sentences, but information written should be detailed and specific. </w:t>
      </w:r>
    </w:p>
    <w:p w14:paraId="65AB7FCE" w14:textId="5A67F908" w:rsidR="0042104B" w:rsidRPr="00D44B64" w:rsidRDefault="00D44B64" w:rsidP="0042104B">
      <w:pPr>
        <w:pStyle w:val="NoSpacing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 w:rsidRPr="00D44B64">
        <w:rPr>
          <w:rFonts w:ascii="Abadi" w:hAnsi="Abadi"/>
          <w:b/>
          <w:bCs/>
          <w:sz w:val="24"/>
          <w:szCs w:val="24"/>
        </w:rPr>
        <w:t xml:space="preserve">           ATHENS</w:t>
      </w:r>
      <w:r w:rsidRPr="00D44B64">
        <w:rPr>
          <w:rFonts w:ascii="Abadi" w:hAnsi="Abadi"/>
          <w:b/>
          <w:bCs/>
          <w:sz w:val="24"/>
          <w:szCs w:val="24"/>
        </w:rPr>
        <w:tab/>
      </w:r>
      <w:r w:rsidRPr="00D44B64">
        <w:rPr>
          <w:rFonts w:ascii="Abadi" w:hAnsi="Abadi"/>
          <w:b/>
          <w:bCs/>
          <w:sz w:val="24"/>
          <w:szCs w:val="24"/>
        </w:rPr>
        <w:tab/>
      </w:r>
      <w:r w:rsidRPr="00D44B64">
        <w:rPr>
          <w:rFonts w:ascii="Abadi" w:hAnsi="Abadi"/>
          <w:b/>
          <w:bCs/>
          <w:sz w:val="24"/>
          <w:szCs w:val="24"/>
        </w:rPr>
        <w:tab/>
      </w:r>
      <w:r w:rsidRPr="00D44B64">
        <w:rPr>
          <w:rFonts w:ascii="Abadi" w:hAnsi="Abadi"/>
          <w:b/>
          <w:bCs/>
          <w:sz w:val="24"/>
          <w:szCs w:val="24"/>
        </w:rPr>
        <w:tab/>
        <w:t xml:space="preserve">    </w:t>
      </w:r>
      <w:r>
        <w:rPr>
          <w:rFonts w:ascii="Abadi" w:hAnsi="Abadi"/>
          <w:b/>
          <w:bCs/>
          <w:sz w:val="24"/>
          <w:szCs w:val="24"/>
        </w:rPr>
        <w:t xml:space="preserve"> </w:t>
      </w:r>
      <w:r w:rsidRPr="00D44B64">
        <w:rPr>
          <w:rFonts w:ascii="Abadi" w:hAnsi="Abadi"/>
          <w:b/>
          <w:bCs/>
          <w:sz w:val="24"/>
          <w:szCs w:val="24"/>
        </w:rPr>
        <w:t xml:space="preserve"> SPARTA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21"/>
        <w:gridCol w:w="4004"/>
        <w:gridCol w:w="3870"/>
      </w:tblGrid>
      <w:tr w:rsidR="0042104B" w14:paraId="2B1251C0" w14:textId="77777777" w:rsidTr="00D44B64">
        <w:trPr>
          <w:trHeight w:val="3560"/>
        </w:trPr>
        <w:tc>
          <w:tcPr>
            <w:tcW w:w="2921" w:type="dxa"/>
            <w:shd w:val="clear" w:color="auto" w:fill="E7E6E6" w:themeFill="background2"/>
          </w:tcPr>
          <w:p w14:paraId="5E97EDB5" w14:textId="77777777" w:rsidR="0042104B" w:rsidRDefault="0042104B" w:rsidP="006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8C4BFC">
              <w:rPr>
                <w:rFonts w:ascii="Times New Roman" w:hAnsi="Times New Roman" w:cs="Times New Roman"/>
                <w:sz w:val="24"/>
                <w:szCs w:val="24"/>
              </w:rPr>
              <w:t>ocial</w:t>
            </w:r>
          </w:p>
          <w:p w14:paraId="05871E96" w14:textId="77777777" w:rsidR="0042104B" w:rsidRDefault="0042104B" w:rsidP="00601438">
            <w:pPr>
              <w:numPr>
                <w:ilvl w:val="0"/>
                <w:numId w:val="1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Gender roles and relations</w:t>
            </w:r>
          </w:p>
          <w:p w14:paraId="2BAD0E33" w14:textId="77777777" w:rsidR="0042104B" w:rsidRDefault="0042104B" w:rsidP="00601438">
            <w:pPr>
              <w:numPr>
                <w:ilvl w:val="0"/>
                <w:numId w:val="1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Family and kinship</w:t>
            </w:r>
          </w:p>
          <w:p w14:paraId="29068CBA" w14:textId="77777777" w:rsidR="0042104B" w:rsidRDefault="0042104B" w:rsidP="00601438">
            <w:pPr>
              <w:numPr>
                <w:ilvl w:val="0"/>
                <w:numId w:val="1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Social classes or structures</w:t>
            </w:r>
          </w:p>
          <w:p w14:paraId="7B517902" w14:textId="77777777" w:rsidR="0042104B" w:rsidRPr="00532D38" w:rsidRDefault="0042104B" w:rsidP="00601438">
            <w:pPr>
              <w:numPr>
                <w:ilvl w:val="0"/>
                <w:numId w:val="1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Norms that govern interactions</w:t>
            </w:r>
          </w:p>
        </w:tc>
        <w:tc>
          <w:tcPr>
            <w:tcW w:w="4004" w:type="dxa"/>
          </w:tcPr>
          <w:p w14:paraId="7F9C3FD4" w14:textId="77777777" w:rsidR="0042104B" w:rsidRDefault="0042104B" w:rsidP="00601438"/>
        </w:tc>
        <w:tc>
          <w:tcPr>
            <w:tcW w:w="3870" w:type="dxa"/>
          </w:tcPr>
          <w:p w14:paraId="28499CD5" w14:textId="77777777" w:rsidR="0042104B" w:rsidRDefault="0042104B" w:rsidP="00601438"/>
        </w:tc>
      </w:tr>
      <w:tr w:rsidR="0042104B" w14:paraId="44BD8926" w14:textId="77777777" w:rsidTr="00D44B64">
        <w:trPr>
          <w:trHeight w:val="4016"/>
        </w:trPr>
        <w:tc>
          <w:tcPr>
            <w:tcW w:w="2921" w:type="dxa"/>
            <w:shd w:val="clear" w:color="auto" w:fill="E7E6E6" w:themeFill="background2"/>
          </w:tcPr>
          <w:p w14:paraId="78D6F954" w14:textId="77777777" w:rsidR="0042104B" w:rsidRDefault="0042104B" w:rsidP="006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Pr="008C4BFC">
              <w:rPr>
                <w:rFonts w:ascii="Times New Roman" w:hAnsi="Times New Roman" w:cs="Times New Roman"/>
                <w:sz w:val="24"/>
                <w:szCs w:val="24"/>
              </w:rPr>
              <w:t>conomic</w:t>
            </w:r>
          </w:p>
          <w:p w14:paraId="6A280FC3" w14:textId="77777777" w:rsidR="0042104B" w:rsidRDefault="0042104B" w:rsidP="00601438">
            <w:pPr>
              <w:numPr>
                <w:ilvl w:val="0"/>
                <w:numId w:val="3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Agricultural and pastoral production</w:t>
            </w:r>
          </w:p>
          <w:p w14:paraId="1DF19C9C" w14:textId="77777777" w:rsidR="0042104B" w:rsidRDefault="0042104B" w:rsidP="00601438">
            <w:pPr>
              <w:numPr>
                <w:ilvl w:val="0"/>
                <w:numId w:val="3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Trade and commerce</w:t>
            </w:r>
          </w:p>
          <w:p w14:paraId="5911CE4F" w14:textId="77777777" w:rsidR="0042104B" w:rsidRDefault="0042104B" w:rsidP="00601438">
            <w:pPr>
              <w:numPr>
                <w:ilvl w:val="0"/>
                <w:numId w:val="3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Systems of value or currency</w:t>
            </w:r>
          </w:p>
          <w:p w14:paraId="1B248B09" w14:textId="77777777" w:rsidR="0042104B" w:rsidRDefault="0042104B" w:rsidP="00601438">
            <w:pPr>
              <w:numPr>
                <w:ilvl w:val="0"/>
                <w:numId w:val="3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Labor systems</w:t>
            </w:r>
          </w:p>
          <w:p w14:paraId="63F6A60B" w14:textId="77777777" w:rsidR="0042104B" w:rsidRDefault="0042104B" w:rsidP="00601438">
            <w:pPr>
              <w:numPr>
                <w:ilvl w:val="0"/>
                <w:numId w:val="3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Industrialization</w:t>
            </w:r>
          </w:p>
          <w:p w14:paraId="084CE2AB" w14:textId="77777777" w:rsidR="0042104B" w:rsidRPr="0046709C" w:rsidRDefault="0042104B" w:rsidP="00601438">
            <w:pPr>
              <w:numPr>
                <w:ilvl w:val="0"/>
                <w:numId w:val="3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 w:rsidRPr="0046709C">
              <w:rPr>
                <w:rFonts w:asciiTheme="majorHAnsi" w:hAnsiTheme="majorHAnsi" w:cs="Euphemia UCAS"/>
                <w:sz w:val="20"/>
                <w:szCs w:val="20"/>
              </w:rPr>
              <w:t xml:space="preserve">Economic ideologies, </w:t>
            </w:r>
            <w:proofErr w:type="gramStart"/>
            <w:r w:rsidRPr="0046709C">
              <w:rPr>
                <w:rFonts w:asciiTheme="majorHAnsi" w:hAnsiTheme="majorHAnsi" w:cs="Euphemia UCAS"/>
                <w:sz w:val="20"/>
                <w:szCs w:val="20"/>
              </w:rPr>
              <w:t>values</w:t>
            </w:r>
            <w:proofErr w:type="gramEnd"/>
            <w:r w:rsidRPr="0046709C">
              <w:rPr>
                <w:rFonts w:asciiTheme="majorHAnsi" w:hAnsiTheme="majorHAnsi" w:cs="Euphemia UCAS"/>
                <w:sz w:val="20"/>
                <w:szCs w:val="20"/>
              </w:rPr>
              <w:t xml:space="preserve"> or systems, such as capitalism or socialism (distribution of wealth)</w:t>
            </w:r>
          </w:p>
        </w:tc>
        <w:tc>
          <w:tcPr>
            <w:tcW w:w="4004" w:type="dxa"/>
          </w:tcPr>
          <w:p w14:paraId="08A07877" w14:textId="77777777" w:rsidR="0042104B" w:rsidRDefault="0042104B" w:rsidP="00601438"/>
        </w:tc>
        <w:tc>
          <w:tcPr>
            <w:tcW w:w="3870" w:type="dxa"/>
          </w:tcPr>
          <w:p w14:paraId="0F3A2581" w14:textId="77777777" w:rsidR="0042104B" w:rsidRDefault="0042104B" w:rsidP="00601438"/>
        </w:tc>
      </w:tr>
      <w:tr w:rsidR="0042104B" w14:paraId="5858F2CA" w14:textId="77777777" w:rsidTr="00D44B64">
        <w:trPr>
          <w:trHeight w:val="3840"/>
        </w:trPr>
        <w:tc>
          <w:tcPr>
            <w:tcW w:w="2921" w:type="dxa"/>
            <w:shd w:val="clear" w:color="auto" w:fill="E7E6E6" w:themeFill="background2"/>
          </w:tcPr>
          <w:p w14:paraId="364354FE" w14:textId="77777777" w:rsidR="0042104B" w:rsidRDefault="0042104B" w:rsidP="00601438">
            <w:pPr>
              <w:rPr>
                <w:rFonts w:asciiTheme="majorHAnsi" w:hAnsiTheme="majorHAnsi" w:cs="Euphemia UCAS"/>
                <w:sz w:val="20"/>
                <w:szCs w:val="20"/>
              </w:rPr>
            </w:pPr>
            <w:r w:rsidRPr="008C4B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8C4BFC">
              <w:rPr>
                <w:rFonts w:ascii="Times New Roman" w:hAnsi="Times New Roman" w:cs="Times New Roman"/>
                <w:sz w:val="24"/>
                <w:szCs w:val="24"/>
              </w:rPr>
              <w:t>olitical</w:t>
            </w:r>
            <w:r>
              <w:rPr>
                <w:rFonts w:asciiTheme="majorHAnsi" w:hAnsiTheme="majorHAnsi" w:cs="Euphemia UCAS"/>
                <w:sz w:val="20"/>
                <w:szCs w:val="20"/>
              </w:rPr>
              <w:t xml:space="preserve"> </w:t>
            </w:r>
          </w:p>
          <w:p w14:paraId="5020541D" w14:textId="77777777" w:rsidR="0042104B" w:rsidRDefault="0042104B" w:rsidP="00601438">
            <w:pPr>
              <w:numPr>
                <w:ilvl w:val="0"/>
                <w:numId w:val="2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Political structures, forms of governance, or systems of rule</w:t>
            </w:r>
          </w:p>
          <w:p w14:paraId="0347AD16" w14:textId="77777777" w:rsidR="0042104B" w:rsidRDefault="0042104B" w:rsidP="00601438">
            <w:pPr>
              <w:numPr>
                <w:ilvl w:val="0"/>
                <w:numId w:val="2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 xml:space="preserve">Development and expansion, including empire-building </w:t>
            </w:r>
          </w:p>
          <w:p w14:paraId="6FC7E295" w14:textId="77777777" w:rsidR="0042104B" w:rsidRDefault="0042104B" w:rsidP="00601438">
            <w:pPr>
              <w:numPr>
                <w:ilvl w:val="0"/>
                <w:numId w:val="2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 xml:space="preserve">Internal and external conflicts </w:t>
            </w:r>
          </w:p>
          <w:p w14:paraId="624C53CF" w14:textId="77777777" w:rsidR="0042104B" w:rsidRDefault="0042104B" w:rsidP="00601438">
            <w:pPr>
              <w:numPr>
                <w:ilvl w:val="0"/>
                <w:numId w:val="2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Organizational and cultural foundations of stability</w:t>
            </w:r>
          </w:p>
          <w:p w14:paraId="25380956" w14:textId="77777777" w:rsidR="0042104B" w:rsidRPr="00532D38" w:rsidRDefault="0042104B" w:rsidP="00601438">
            <w:pPr>
              <w:numPr>
                <w:ilvl w:val="0"/>
                <w:numId w:val="2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Interstate relations, including warfare, diplomacy, commercial and cultural exchange, and the formation of international or regional alliances</w:t>
            </w:r>
          </w:p>
        </w:tc>
        <w:tc>
          <w:tcPr>
            <w:tcW w:w="4004" w:type="dxa"/>
          </w:tcPr>
          <w:p w14:paraId="71CAF99D" w14:textId="77777777" w:rsidR="0042104B" w:rsidRDefault="0042104B" w:rsidP="00601438"/>
        </w:tc>
        <w:tc>
          <w:tcPr>
            <w:tcW w:w="3870" w:type="dxa"/>
          </w:tcPr>
          <w:p w14:paraId="12D6DFEB" w14:textId="77777777" w:rsidR="0042104B" w:rsidRDefault="0042104B" w:rsidP="00601438"/>
        </w:tc>
      </w:tr>
      <w:tr w:rsidR="0042104B" w14:paraId="18C4DC8A" w14:textId="77777777" w:rsidTr="00D44B64">
        <w:trPr>
          <w:trHeight w:val="3753"/>
        </w:trPr>
        <w:tc>
          <w:tcPr>
            <w:tcW w:w="2921" w:type="dxa"/>
            <w:shd w:val="clear" w:color="auto" w:fill="E7E6E6" w:themeFill="background2"/>
          </w:tcPr>
          <w:p w14:paraId="676726F7" w14:textId="77777777" w:rsidR="0042104B" w:rsidRDefault="0042104B" w:rsidP="006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T</w:t>
            </w:r>
            <w:r w:rsidRPr="008C4BFC">
              <w:rPr>
                <w:rFonts w:ascii="Times New Roman" w:hAnsi="Times New Roman" w:cs="Times New Roman"/>
                <w:sz w:val="24"/>
                <w:szCs w:val="24"/>
              </w:rPr>
              <w:t>echnology</w:t>
            </w:r>
          </w:p>
          <w:p w14:paraId="7B4ECE09" w14:textId="77777777" w:rsidR="0042104B" w:rsidRPr="001A1362" w:rsidRDefault="0042104B" w:rsidP="006014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62">
              <w:rPr>
                <w:rFonts w:asciiTheme="majorHAnsi" w:hAnsiTheme="majorHAnsi" w:cs="Euphemia UCAS"/>
                <w:sz w:val="20"/>
                <w:szCs w:val="20"/>
              </w:rPr>
              <w:t xml:space="preserve">New inventions or innovations </w:t>
            </w:r>
          </w:p>
          <w:p w14:paraId="19431639" w14:textId="77777777" w:rsidR="0042104B" w:rsidRPr="001A1362" w:rsidRDefault="0042104B" w:rsidP="006014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Exchanges of technology between regions/ cultures</w:t>
            </w:r>
          </w:p>
          <w:p w14:paraId="3DB8525D" w14:textId="77777777" w:rsidR="0042104B" w:rsidRPr="001A1362" w:rsidRDefault="0042104B" w:rsidP="0060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33C8277" w14:textId="77777777" w:rsidR="0042104B" w:rsidRDefault="0042104B" w:rsidP="00601438"/>
        </w:tc>
        <w:tc>
          <w:tcPr>
            <w:tcW w:w="3870" w:type="dxa"/>
          </w:tcPr>
          <w:p w14:paraId="2365F06A" w14:textId="77777777" w:rsidR="0042104B" w:rsidRDefault="0042104B" w:rsidP="00601438"/>
        </w:tc>
      </w:tr>
      <w:tr w:rsidR="0042104B" w14:paraId="3D165B96" w14:textId="77777777" w:rsidTr="00D44B64">
        <w:trPr>
          <w:trHeight w:val="4104"/>
        </w:trPr>
        <w:tc>
          <w:tcPr>
            <w:tcW w:w="2921" w:type="dxa"/>
            <w:shd w:val="clear" w:color="auto" w:fill="E7E6E6" w:themeFill="background2"/>
          </w:tcPr>
          <w:p w14:paraId="534D5F4A" w14:textId="77777777" w:rsidR="0042104B" w:rsidRDefault="0042104B" w:rsidP="006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Pr="008C4BFC">
              <w:rPr>
                <w:rFonts w:ascii="Times New Roman" w:hAnsi="Times New Roman" w:cs="Times New Roman"/>
                <w:sz w:val="24"/>
                <w:szCs w:val="24"/>
              </w:rPr>
              <w:t>nteractions with the Environment</w:t>
            </w:r>
          </w:p>
          <w:p w14:paraId="5A4D8CD2" w14:textId="77777777" w:rsidR="0042104B" w:rsidRDefault="0042104B" w:rsidP="00601438">
            <w:pPr>
              <w:numPr>
                <w:ilvl w:val="0"/>
                <w:numId w:val="5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 xml:space="preserve">Natural Geographical features </w:t>
            </w:r>
          </w:p>
          <w:p w14:paraId="6C20468D" w14:textId="77777777" w:rsidR="0042104B" w:rsidRDefault="0042104B" w:rsidP="00601438">
            <w:pPr>
              <w:numPr>
                <w:ilvl w:val="0"/>
                <w:numId w:val="5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Environmental factors such as rainfall patterns, climate, and available flora and fauna</w:t>
            </w:r>
          </w:p>
          <w:p w14:paraId="2D3F8F80" w14:textId="77777777" w:rsidR="0042104B" w:rsidRDefault="0042104B" w:rsidP="00601438">
            <w:pPr>
              <w:numPr>
                <w:ilvl w:val="0"/>
                <w:numId w:val="5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Natural resources</w:t>
            </w:r>
          </w:p>
          <w:p w14:paraId="7A70FA23" w14:textId="77777777" w:rsidR="0042104B" w:rsidRDefault="0042104B" w:rsidP="00601438">
            <w:pPr>
              <w:numPr>
                <w:ilvl w:val="0"/>
                <w:numId w:val="5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Food sources</w:t>
            </w:r>
          </w:p>
          <w:p w14:paraId="5B390C58" w14:textId="77777777" w:rsidR="0042104B" w:rsidRDefault="0042104B" w:rsidP="00601438">
            <w:pPr>
              <w:numPr>
                <w:ilvl w:val="0"/>
                <w:numId w:val="5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Demography and disease</w:t>
            </w:r>
          </w:p>
          <w:p w14:paraId="369B8115" w14:textId="77777777" w:rsidR="0042104B" w:rsidRPr="00532D38" w:rsidRDefault="0042104B" w:rsidP="00601438">
            <w:pPr>
              <w:numPr>
                <w:ilvl w:val="0"/>
                <w:numId w:val="5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Migration and s</w:t>
            </w:r>
            <w:r w:rsidRPr="00532D38">
              <w:rPr>
                <w:rFonts w:asciiTheme="majorHAnsi" w:hAnsiTheme="majorHAnsi" w:cs="Euphemia UCAS"/>
                <w:sz w:val="20"/>
                <w:szCs w:val="20"/>
              </w:rPr>
              <w:t>ettlement</w:t>
            </w:r>
          </w:p>
          <w:p w14:paraId="06B3D8CD" w14:textId="77777777" w:rsidR="0042104B" w:rsidRDefault="0042104B" w:rsidP="00601438">
            <w:pPr>
              <w:numPr>
                <w:ilvl w:val="0"/>
                <w:numId w:val="5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Human exploitation of and/or impact on the environment</w:t>
            </w:r>
          </w:p>
          <w:p w14:paraId="3C90DF9A" w14:textId="77777777" w:rsidR="0042104B" w:rsidRPr="00532D38" w:rsidRDefault="0042104B" w:rsidP="00601438">
            <w:pPr>
              <w:numPr>
                <w:ilvl w:val="0"/>
                <w:numId w:val="5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 w:rsidRPr="00532D38">
              <w:rPr>
                <w:rFonts w:asciiTheme="majorHAnsi" w:hAnsiTheme="majorHAnsi" w:cs="Euphemia UCAS"/>
                <w:sz w:val="20"/>
                <w:szCs w:val="20"/>
              </w:rPr>
              <w:t>Transport</w:t>
            </w:r>
          </w:p>
        </w:tc>
        <w:tc>
          <w:tcPr>
            <w:tcW w:w="4004" w:type="dxa"/>
          </w:tcPr>
          <w:p w14:paraId="1CDEFA74" w14:textId="77777777" w:rsidR="0042104B" w:rsidRDefault="0042104B" w:rsidP="00601438"/>
        </w:tc>
        <w:tc>
          <w:tcPr>
            <w:tcW w:w="3870" w:type="dxa"/>
          </w:tcPr>
          <w:p w14:paraId="313AF002" w14:textId="77777777" w:rsidR="0042104B" w:rsidRDefault="0042104B" w:rsidP="00601438"/>
        </w:tc>
      </w:tr>
      <w:tr w:rsidR="0042104B" w14:paraId="20B8AC27" w14:textId="77777777" w:rsidTr="00D44B64">
        <w:trPr>
          <w:trHeight w:val="5077"/>
        </w:trPr>
        <w:tc>
          <w:tcPr>
            <w:tcW w:w="2921" w:type="dxa"/>
            <w:shd w:val="clear" w:color="auto" w:fill="E7E6E6" w:themeFill="background2"/>
          </w:tcPr>
          <w:p w14:paraId="1DC461AF" w14:textId="77777777" w:rsidR="0042104B" w:rsidRDefault="0042104B" w:rsidP="0060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Pr="008C4BFC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  <w:p w14:paraId="11E44866" w14:textId="77777777" w:rsidR="0042104B" w:rsidRPr="00532D38" w:rsidRDefault="0042104B" w:rsidP="00601438">
            <w:pPr>
              <w:numPr>
                <w:ilvl w:val="0"/>
                <w:numId w:val="4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 xml:space="preserve">Religions- </w:t>
            </w:r>
            <w:r w:rsidRPr="00532D38">
              <w:rPr>
                <w:rFonts w:asciiTheme="majorHAnsi" w:hAnsiTheme="majorHAnsi" w:cs="Euphemia UCAS"/>
                <w:sz w:val="20"/>
                <w:szCs w:val="20"/>
              </w:rPr>
              <w:t>Belief systems, philosophies, ideologies, and values</w:t>
            </w:r>
          </w:p>
          <w:p w14:paraId="7DBA3204" w14:textId="77777777" w:rsidR="0042104B" w:rsidRDefault="0042104B" w:rsidP="00601438">
            <w:pPr>
              <w:numPr>
                <w:ilvl w:val="0"/>
                <w:numId w:val="4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Art and/or decoration</w:t>
            </w:r>
          </w:p>
          <w:p w14:paraId="6B1DAFCC" w14:textId="77777777" w:rsidR="0042104B" w:rsidRDefault="0042104B" w:rsidP="00601438">
            <w:pPr>
              <w:numPr>
                <w:ilvl w:val="0"/>
                <w:numId w:val="4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Clothing and/or regalia</w:t>
            </w:r>
          </w:p>
          <w:p w14:paraId="6CEE181F" w14:textId="77777777" w:rsidR="0042104B" w:rsidRDefault="0042104B" w:rsidP="00601438">
            <w:pPr>
              <w:numPr>
                <w:ilvl w:val="0"/>
                <w:numId w:val="4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Ceremonies</w:t>
            </w:r>
          </w:p>
          <w:p w14:paraId="05205693" w14:textId="77777777" w:rsidR="0042104B" w:rsidRDefault="0042104B" w:rsidP="00601438">
            <w:pPr>
              <w:numPr>
                <w:ilvl w:val="0"/>
                <w:numId w:val="4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Architecture, Science, and Technology</w:t>
            </w:r>
          </w:p>
          <w:p w14:paraId="44A5FBE0" w14:textId="77777777" w:rsidR="0042104B" w:rsidRDefault="0042104B" w:rsidP="00601438">
            <w:pPr>
              <w:numPr>
                <w:ilvl w:val="0"/>
                <w:numId w:val="4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>
              <w:rPr>
                <w:rFonts w:asciiTheme="majorHAnsi" w:hAnsiTheme="majorHAnsi" w:cs="Euphemia UCAS"/>
                <w:sz w:val="20"/>
                <w:szCs w:val="20"/>
              </w:rPr>
              <w:t>Exchange of culture with other groups</w:t>
            </w:r>
          </w:p>
          <w:p w14:paraId="2EBC9C3D" w14:textId="77777777" w:rsidR="0042104B" w:rsidRPr="00532D38" w:rsidRDefault="0042104B" w:rsidP="00601438">
            <w:pPr>
              <w:numPr>
                <w:ilvl w:val="0"/>
                <w:numId w:val="4"/>
              </w:numPr>
              <w:rPr>
                <w:rFonts w:asciiTheme="majorHAnsi" w:hAnsiTheme="majorHAnsi" w:cs="Euphemia UCAS"/>
                <w:sz w:val="20"/>
                <w:szCs w:val="20"/>
              </w:rPr>
            </w:pPr>
            <w:r w:rsidRPr="00532D38">
              <w:rPr>
                <w:rFonts w:asciiTheme="majorHAnsi" w:hAnsiTheme="majorHAnsi" w:cs="Euphemia UCAS"/>
                <w:sz w:val="20"/>
                <w:szCs w:val="20"/>
              </w:rPr>
              <w:t>Differences/similarities with other cultural groups, including those within the same region</w:t>
            </w:r>
          </w:p>
        </w:tc>
        <w:tc>
          <w:tcPr>
            <w:tcW w:w="4004" w:type="dxa"/>
          </w:tcPr>
          <w:p w14:paraId="14C29E2A" w14:textId="77777777" w:rsidR="0042104B" w:rsidRDefault="0042104B" w:rsidP="00601438"/>
        </w:tc>
        <w:tc>
          <w:tcPr>
            <w:tcW w:w="3870" w:type="dxa"/>
          </w:tcPr>
          <w:p w14:paraId="093A681C" w14:textId="77777777" w:rsidR="0042104B" w:rsidRDefault="0042104B" w:rsidP="00601438"/>
        </w:tc>
      </w:tr>
    </w:tbl>
    <w:p w14:paraId="7035E4D0" w14:textId="77777777" w:rsidR="0042104B" w:rsidRDefault="0042104B"/>
    <w:sectPr w:rsidR="0042104B" w:rsidSect="00283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phemia UCAS">
    <w:altName w:val="Arial"/>
    <w:charset w:val="00"/>
    <w:family w:val="auto"/>
    <w:pitch w:val="variable"/>
    <w:sig w:usb0="80000063" w:usb1="00000000" w:usb2="00002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429"/>
    <w:multiLevelType w:val="hybridMultilevel"/>
    <w:tmpl w:val="E4A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302E"/>
    <w:multiLevelType w:val="hybridMultilevel"/>
    <w:tmpl w:val="2ED0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15787"/>
    <w:multiLevelType w:val="hybridMultilevel"/>
    <w:tmpl w:val="5F8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5C8D"/>
    <w:multiLevelType w:val="hybridMultilevel"/>
    <w:tmpl w:val="8EF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72B5"/>
    <w:multiLevelType w:val="hybridMultilevel"/>
    <w:tmpl w:val="B11E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6232D"/>
    <w:multiLevelType w:val="hybridMultilevel"/>
    <w:tmpl w:val="56C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367146">
    <w:abstractNumId w:val="0"/>
  </w:num>
  <w:num w:numId="2" w16cid:durableId="1164932149">
    <w:abstractNumId w:val="5"/>
  </w:num>
  <w:num w:numId="3" w16cid:durableId="1312639862">
    <w:abstractNumId w:val="2"/>
  </w:num>
  <w:num w:numId="4" w16cid:durableId="658925572">
    <w:abstractNumId w:val="3"/>
  </w:num>
  <w:num w:numId="5" w16cid:durableId="606623924">
    <w:abstractNumId w:val="4"/>
  </w:num>
  <w:num w:numId="6" w16cid:durableId="128700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CF"/>
    <w:rsid w:val="002837CF"/>
    <w:rsid w:val="002D1305"/>
    <w:rsid w:val="004117C8"/>
    <w:rsid w:val="0042104B"/>
    <w:rsid w:val="009A6B0F"/>
    <w:rsid w:val="00D4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3F39"/>
  <w15:chartTrackingRefBased/>
  <w15:docId w15:val="{88A55602-ABC6-44AD-9930-D62605D6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CF"/>
    <w:pPr>
      <w:ind w:left="720"/>
      <w:contextualSpacing/>
    </w:pPr>
  </w:style>
  <w:style w:type="table" w:styleId="TableGrid">
    <w:name w:val="Table Grid"/>
    <w:basedOn w:val="TableNormal"/>
    <w:uiPriority w:val="39"/>
    <w:rsid w:val="0028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3</cp:revision>
  <cp:lastPrinted>2022-08-11T13:30:00Z</cp:lastPrinted>
  <dcterms:created xsi:type="dcterms:W3CDTF">2022-08-11T13:26:00Z</dcterms:created>
  <dcterms:modified xsi:type="dcterms:W3CDTF">2022-08-11T13:30:00Z</dcterms:modified>
</cp:coreProperties>
</file>